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ascii="宋体" w:hAnsi="宋体" w:eastAsia="宋体"/>
          <w:b/>
          <w:sz w:val="36"/>
          <w:szCs w:val="36"/>
        </w:rPr>
      </w:pPr>
      <w:r>
        <w:rPr>
          <w:rFonts w:hint="eastAsia" w:ascii="宋体" w:hAnsi="宋体" w:eastAsia="宋体"/>
          <w:b/>
          <w:sz w:val="36"/>
          <w:szCs w:val="36"/>
        </w:rPr>
        <w:t>舟山市市场监督管理局消费投诉公示</w:t>
      </w:r>
    </w:p>
    <w:p>
      <w:pPr>
        <w:spacing w:line="360" w:lineRule="auto"/>
        <w:jc w:val="center"/>
        <w:rPr>
          <w:rFonts w:hint="eastAsia" w:ascii="宋体" w:hAnsi="宋体" w:eastAsia="宋体"/>
          <w:b/>
          <w:sz w:val="32"/>
          <w:szCs w:val="32"/>
        </w:rPr>
      </w:pPr>
      <w:r>
        <w:rPr>
          <w:rFonts w:hint="eastAsia" w:ascii="宋体" w:hAnsi="宋体" w:eastAsia="宋体"/>
          <w:b/>
          <w:sz w:val="32"/>
          <w:szCs w:val="32"/>
        </w:rPr>
        <w:t>（</w:t>
      </w:r>
      <w:r>
        <w:rPr>
          <w:rFonts w:hint="eastAsia" w:ascii="宋体" w:hAnsi="宋体"/>
          <w:b/>
          <w:sz w:val="32"/>
          <w:szCs w:val="32"/>
          <w:lang w:val="en-US" w:eastAsia="zh-CN"/>
        </w:rPr>
        <w:t>2018年</w:t>
      </w:r>
      <w:r>
        <w:rPr>
          <w:rFonts w:hint="eastAsia" w:ascii="宋体" w:hAnsi="宋体" w:eastAsia="宋体"/>
          <w:b/>
          <w:sz w:val="32"/>
          <w:szCs w:val="32"/>
        </w:rPr>
        <w:t>第</w:t>
      </w:r>
      <w:r>
        <w:rPr>
          <w:rFonts w:hint="eastAsia" w:ascii="宋体" w:hAnsi="宋体"/>
          <w:b/>
          <w:sz w:val="32"/>
          <w:szCs w:val="32"/>
          <w:lang w:eastAsia="zh-CN"/>
        </w:rPr>
        <w:t>十</w:t>
      </w:r>
      <w:r>
        <w:rPr>
          <w:rFonts w:hint="eastAsia" w:ascii="宋体" w:hAnsi="宋体" w:eastAsia="宋体"/>
          <w:b/>
          <w:sz w:val="32"/>
          <w:szCs w:val="32"/>
        </w:rPr>
        <w:t>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10"/>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情况综述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201</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eastAsia="zh-CN"/>
        </w:rPr>
        <w:t>份</w:t>
      </w:r>
      <w:r>
        <w:rPr>
          <w:rFonts w:hint="eastAsia" w:ascii="仿宋" w:hAnsi="仿宋" w:eastAsia="仿宋" w:cs="仿宋"/>
          <w:sz w:val="28"/>
          <w:szCs w:val="28"/>
        </w:rPr>
        <w:t>，</w:t>
      </w:r>
      <w:r>
        <w:rPr>
          <w:rFonts w:hint="eastAsia" w:ascii="仿宋" w:hAnsi="仿宋" w:eastAsia="仿宋" w:cs="仿宋"/>
          <w:sz w:val="28"/>
          <w:szCs w:val="28"/>
          <w:lang w:eastAsia="zh-CN"/>
        </w:rPr>
        <w:t>市市场监管局所属单位及消保委</w:t>
      </w:r>
      <w:r>
        <w:rPr>
          <w:rFonts w:hint="eastAsia" w:ascii="仿宋" w:hAnsi="仿宋" w:eastAsia="仿宋" w:cs="仿宋"/>
          <w:sz w:val="28"/>
          <w:szCs w:val="28"/>
        </w:rPr>
        <w:t>主要成员单位共受理消费者投诉</w:t>
      </w:r>
      <w:r>
        <w:rPr>
          <w:rFonts w:hint="eastAsia" w:ascii="仿宋" w:hAnsi="仿宋" w:eastAsia="仿宋" w:cs="仿宋"/>
          <w:sz w:val="28"/>
          <w:szCs w:val="28"/>
          <w:lang w:val="en-US" w:eastAsia="zh-CN"/>
        </w:rPr>
        <w:t>183</w:t>
      </w:r>
      <w:r>
        <w:rPr>
          <w:rFonts w:hint="eastAsia" w:ascii="仿宋" w:hAnsi="仿宋" w:eastAsia="仿宋" w:cs="仿宋"/>
          <w:sz w:val="28"/>
          <w:szCs w:val="28"/>
        </w:rPr>
        <w:t>件，同比</w:t>
      </w:r>
      <w:r>
        <w:rPr>
          <w:rFonts w:hint="eastAsia" w:ascii="仿宋" w:hAnsi="仿宋" w:eastAsia="仿宋" w:cs="仿宋"/>
          <w:sz w:val="28"/>
          <w:szCs w:val="28"/>
          <w:lang w:eastAsia="zh-CN"/>
        </w:rPr>
        <w:t>上升</w:t>
      </w:r>
      <w:r>
        <w:rPr>
          <w:rFonts w:hint="eastAsia" w:ascii="仿宋" w:hAnsi="仿宋" w:eastAsia="仿宋" w:cs="仿宋"/>
          <w:sz w:val="28"/>
          <w:szCs w:val="28"/>
          <w:lang w:val="en-US" w:eastAsia="zh-CN"/>
        </w:rPr>
        <w:t>15件,升幅8.9%；环比下降21件，降幅10.3%。</w:t>
      </w:r>
      <w:r>
        <w:rPr>
          <w:rFonts w:hint="eastAsia" w:ascii="仿宋" w:hAnsi="仿宋" w:eastAsia="仿宋" w:cs="仿宋"/>
          <w:sz w:val="28"/>
          <w:szCs w:val="28"/>
        </w:rPr>
        <w:t>其中：商品类投诉</w:t>
      </w:r>
      <w:r>
        <w:rPr>
          <w:rFonts w:hint="eastAsia" w:ascii="仿宋" w:hAnsi="仿宋" w:eastAsia="仿宋" w:cs="仿宋"/>
          <w:sz w:val="28"/>
          <w:szCs w:val="28"/>
          <w:lang w:val="en-US" w:eastAsia="zh-CN"/>
        </w:rPr>
        <w:t>82</w:t>
      </w:r>
      <w:r>
        <w:rPr>
          <w:rFonts w:hint="eastAsia" w:ascii="仿宋" w:hAnsi="仿宋" w:eastAsia="仿宋" w:cs="仿宋"/>
          <w:sz w:val="28"/>
          <w:szCs w:val="28"/>
        </w:rPr>
        <w:t>件，</w:t>
      </w:r>
      <w:r>
        <w:rPr>
          <w:rFonts w:hint="eastAsia" w:ascii="仿宋" w:hAnsi="仿宋" w:eastAsia="仿宋" w:cs="仿宋"/>
          <w:sz w:val="28"/>
          <w:szCs w:val="28"/>
          <w:lang w:eastAsia="zh-CN"/>
        </w:rPr>
        <w:t>同比上升</w:t>
      </w:r>
      <w:r>
        <w:rPr>
          <w:rFonts w:hint="eastAsia" w:ascii="仿宋" w:hAnsi="仿宋" w:eastAsia="仿宋" w:cs="仿宋"/>
          <w:sz w:val="28"/>
          <w:szCs w:val="28"/>
          <w:lang w:val="en-US" w:eastAsia="zh-CN"/>
        </w:rPr>
        <w:t>6件，升幅7.9%；环比下降14件，降幅14.6%。服务类投诉101件，同比上升9件，升幅9.8%；环比下降7件，降幅6.5%。</w:t>
      </w:r>
    </w:p>
    <w:p>
      <w:pPr>
        <w:rPr>
          <w:rFonts w:hint="eastAsia"/>
          <w:b/>
          <w:sz w:val="24"/>
          <w:szCs w:val="24"/>
          <w:lang w:val="en-US" w:eastAsia="zh-CN"/>
        </w:rPr>
      </w:pPr>
    </w:p>
    <w:p>
      <w:pPr>
        <w:ind w:firstLine="1687" w:firstLineChars="700"/>
      </w:pPr>
      <w:r>
        <w:rPr>
          <w:rFonts w:hint="eastAsia"/>
          <w:b/>
          <w:sz w:val="24"/>
          <w:szCs w:val="24"/>
          <w:lang w:val="en-US" w:eastAsia="zh-CN"/>
        </w:rPr>
        <w:t xml:space="preserve"> 2017--2018年</w:t>
      </w:r>
      <w:r>
        <w:rPr>
          <w:rFonts w:hint="eastAsia"/>
          <w:b/>
          <w:sz w:val="24"/>
          <w:szCs w:val="24"/>
          <w:lang w:eastAsia="zh-CN"/>
        </w:rPr>
        <w:t>月度消费投诉走势对比</w:t>
      </w:r>
      <w:r>
        <w:rPr>
          <w:rFonts w:hint="eastAsia"/>
          <w:b/>
          <w:sz w:val="24"/>
          <w:szCs w:val="24"/>
        </w:rPr>
        <w:t>图  （单位：件）</w:t>
      </w:r>
    </w:p>
    <w:p>
      <w:pPr>
        <w:rPr>
          <w:rFonts w:hint="eastAsia" w:eastAsiaTheme="minorEastAsia"/>
          <w:lang w:eastAsia="zh-CN"/>
        </w:rPr>
      </w:pPr>
      <w:r>
        <w:rPr>
          <w:rFonts w:hint="eastAsia" w:eastAsiaTheme="minorEastAsia"/>
          <w:lang w:eastAsia="zh-CN"/>
        </w:rPr>
        <w:drawing>
          <wp:inline distT="0" distB="0" distL="114300" distR="114300">
            <wp:extent cx="5441315" cy="3552825"/>
            <wp:effectExtent l="4445" t="4445" r="21590"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ind w:firstLine="551" w:firstLineChars="197"/>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51" w:firstLineChars="197"/>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投诉量居前</w:t>
      </w:r>
      <w:r>
        <w:rPr>
          <w:rFonts w:hint="eastAsia" w:ascii="仿宋" w:hAnsi="仿宋" w:eastAsia="仿宋" w:cs="仿宋"/>
          <w:sz w:val="28"/>
          <w:szCs w:val="28"/>
          <w:lang w:eastAsia="zh-CN"/>
        </w:rPr>
        <w:t>三位</w:t>
      </w:r>
      <w:r>
        <w:rPr>
          <w:rFonts w:hint="eastAsia" w:ascii="仿宋" w:hAnsi="仿宋" w:eastAsia="仿宋" w:cs="仿宋"/>
          <w:sz w:val="28"/>
          <w:szCs w:val="28"/>
        </w:rPr>
        <w:t>的商品和服务类别为：</w:t>
      </w:r>
      <w:r>
        <w:rPr>
          <w:rFonts w:hint="eastAsia" w:ascii="仿宋" w:hAnsi="仿宋" w:eastAsia="仿宋" w:cs="仿宋"/>
          <w:sz w:val="28"/>
          <w:szCs w:val="28"/>
          <w:lang w:val="en-US" w:eastAsia="zh-CN"/>
        </w:rPr>
        <w:t>食品、</w:t>
      </w:r>
      <w:r>
        <w:rPr>
          <w:rFonts w:hint="eastAsia" w:ascii="仿宋" w:hAnsi="仿宋" w:eastAsia="仿宋" w:cs="仿宋"/>
          <w:sz w:val="28"/>
          <w:szCs w:val="28"/>
          <w:lang w:eastAsia="zh-CN"/>
        </w:rPr>
        <w:t>餐饮服务各</w:t>
      </w:r>
      <w:r>
        <w:rPr>
          <w:rFonts w:hint="eastAsia" w:ascii="仿宋" w:hAnsi="仿宋" w:eastAsia="仿宋" w:cs="仿宋"/>
          <w:sz w:val="28"/>
          <w:szCs w:val="28"/>
          <w:lang w:val="en-US" w:eastAsia="zh-CN"/>
        </w:rPr>
        <w:t>20件，</w:t>
      </w:r>
      <w:r>
        <w:rPr>
          <w:rFonts w:hint="eastAsia" w:ascii="仿宋" w:hAnsi="仿宋" w:eastAsia="仿宋" w:cs="仿宋"/>
          <w:sz w:val="28"/>
          <w:szCs w:val="28"/>
          <w:lang w:eastAsia="zh-CN"/>
        </w:rPr>
        <w:t>日用百货</w:t>
      </w:r>
      <w:r>
        <w:rPr>
          <w:rFonts w:hint="eastAsia" w:ascii="仿宋" w:hAnsi="仿宋" w:eastAsia="仿宋" w:cs="仿宋"/>
          <w:sz w:val="28"/>
          <w:szCs w:val="28"/>
          <w:lang w:val="en-US" w:eastAsia="zh-CN"/>
        </w:rPr>
        <w:t>、销售服务各19件，装饰装修服务、住宿服务各13件。</w:t>
      </w:r>
    </w:p>
    <w:p>
      <w:pPr>
        <w:keepNext w:val="0"/>
        <w:keepLines w:val="0"/>
        <w:pageBreakBefore w:val="0"/>
        <w:widowControl w:val="0"/>
        <w:kinsoku/>
        <w:wordWrap/>
        <w:overflowPunct/>
        <w:topLinePunct w:val="0"/>
        <w:autoSpaceDE/>
        <w:autoSpaceDN/>
        <w:bidi w:val="0"/>
        <w:adjustRightInd/>
        <w:snapToGrid/>
        <w:spacing w:line="500" w:lineRule="exact"/>
        <w:ind w:firstLine="551" w:firstLineChars="197"/>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投诉量居前三位的问题是：质量问题67件，合同问题35件，售后服务问题33件。</w:t>
      </w:r>
    </w:p>
    <w:p>
      <w:pPr>
        <w:ind w:firstLine="2409" w:firstLineChars="1000"/>
        <w:rPr>
          <w:rFonts w:hint="eastAsia" w:ascii="黑体" w:hAnsi="黑体" w:eastAsia="黑体" w:cs="黑体"/>
          <w:b/>
          <w:bCs/>
          <w:sz w:val="24"/>
          <w:szCs w:val="24"/>
          <w:lang w:val="en-US" w:eastAsia="zh-CN"/>
        </w:rPr>
      </w:pPr>
    </w:p>
    <w:p>
      <w:pPr>
        <w:ind w:firstLine="2409" w:firstLineChars="1000"/>
        <w:rPr>
          <w:rFonts w:hint="eastAsia" w:ascii="黑体" w:hAnsi="黑体" w:eastAsia="黑体" w:cs="黑体"/>
          <w:b/>
          <w:bCs/>
          <w:sz w:val="24"/>
          <w:szCs w:val="24"/>
          <w:lang w:val="en-US" w:eastAsia="zh-CN"/>
        </w:rPr>
      </w:pPr>
    </w:p>
    <w:p>
      <w:pPr>
        <w:ind w:firstLine="2409" w:firstLineChars="1000"/>
      </w:pPr>
      <w:r>
        <w:rPr>
          <w:rFonts w:hint="eastAsia" w:ascii="黑体" w:hAnsi="黑体" w:eastAsia="黑体" w:cs="黑体"/>
          <w:b/>
          <w:bCs/>
          <w:sz w:val="24"/>
          <w:szCs w:val="24"/>
          <w:lang w:val="en-US" w:eastAsia="zh-CN"/>
        </w:rPr>
        <w:t>12月份商品类投诉情况（单位：件）</w:t>
      </w:r>
    </w:p>
    <w:p>
      <w:pPr>
        <w:rPr>
          <w:rFonts w:hint="eastAsia" w:eastAsiaTheme="minorEastAsia"/>
          <w:lang w:eastAsia="zh-CN"/>
        </w:rPr>
      </w:pPr>
      <w:r>
        <w:rPr>
          <w:rFonts w:hint="eastAsia" w:eastAsiaTheme="minorEastAsia"/>
          <w:lang w:eastAsia="zh-CN"/>
        </w:rPr>
        <w:drawing>
          <wp:inline distT="0" distB="0" distL="114300" distR="114300">
            <wp:extent cx="5279390" cy="3534410"/>
            <wp:effectExtent l="4445" t="4445" r="12065" b="234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12月份服务类投诉情况（单位：件）</w:t>
      </w:r>
    </w:p>
    <w:p>
      <w:pPr>
        <w:rPr>
          <w:rFonts w:hint="eastAsia" w:eastAsiaTheme="minorEastAsia"/>
          <w:lang w:eastAsia="zh-CN"/>
        </w:rPr>
      </w:pPr>
      <w:r>
        <w:rPr>
          <w:rFonts w:hint="eastAsia" w:eastAsiaTheme="minorEastAsia"/>
          <w:lang w:eastAsia="zh-CN"/>
        </w:rPr>
        <w:drawing>
          <wp:inline distT="0" distB="0" distL="114300" distR="114300">
            <wp:extent cx="5298440" cy="4038600"/>
            <wp:effectExtent l="13970" t="13970" r="21590" b="241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rFonts w:hint="eastAsia" w:eastAsiaTheme="minorEastAsia"/>
          <w:lang w:eastAsia="zh-CN"/>
        </w:rPr>
      </w:pPr>
    </w:p>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 xml:space="preserve">     12月份消费投诉问题的性质（单位：件）</w:t>
      </w:r>
    </w:p>
    <w:p>
      <w:pPr>
        <w:rPr>
          <w:rFonts w:hint="eastAsia" w:eastAsiaTheme="minorEastAsia"/>
          <w:lang w:eastAsia="zh-CN"/>
        </w:rPr>
      </w:pPr>
      <w:r>
        <w:rPr>
          <w:rFonts w:hint="eastAsia" w:eastAsiaTheme="minorEastAsia"/>
          <w:lang w:eastAsia="zh-CN"/>
        </w:rPr>
        <w:drawing>
          <wp:inline distT="0" distB="0" distL="114300" distR="114300">
            <wp:extent cx="5308600" cy="3794125"/>
            <wp:effectExtent l="13970" t="0" r="30480" b="2095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二、主要特点</w:t>
      </w:r>
      <w:r>
        <w:rPr>
          <w:rFonts w:hint="eastAsia" w:ascii="仿宋" w:hAnsi="仿宋" w:eastAsia="仿宋" w:cs="仿宋"/>
          <w:b/>
          <w:bCs/>
          <w:sz w:val="28"/>
          <w:szCs w:val="28"/>
        </w:rPr>
        <w:t xml:space="preserve"> </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、投诉量持续多月回落。</w:t>
      </w:r>
      <w:r>
        <w:rPr>
          <w:rFonts w:hint="eastAsia" w:ascii="仿宋" w:hAnsi="仿宋" w:eastAsia="仿宋" w:cs="仿宋"/>
          <w:b w:val="0"/>
          <w:bCs w:val="0"/>
          <w:sz w:val="28"/>
          <w:szCs w:val="28"/>
          <w:lang w:val="en-US" w:eastAsia="zh-CN"/>
        </w:rPr>
        <w:t>12月份，消费投诉量环比继续下降，</w:t>
      </w:r>
      <w:r>
        <w:rPr>
          <w:rFonts w:hint="eastAsia" w:ascii="仿宋" w:hAnsi="仿宋" w:eastAsia="仿宋" w:cs="仿宋"/>
          <w:sz w:val="28"/>
          <w:szCs w:val="28"/>
          <w:lang w:val="en-US" w:eastAsia="zh-CN"/>
        </w:rPr>
        <w:t>降幅10.3%，已持续第四个回落，</w:t>
      </w:r>
      <w:r>
        <w:rPr>
          <w:rFonts w:hint="eastAsia" w:ascii="仿宋" w:hAnsi="仿宋" w:eastAsia="仿宋" w:cs="仿宋"/>
          <w:b w:val="0"/>
          <w:bCs w:val="0"/>
          <w:sz w:val="28"/>
          <w:szCs w:val="28"/>
          <w:lang w:val="en-US" w:eastAsia="zh-CN"/>
        </w:rPr>
        <w:t>处于全年第二低位。从回落情况看，商品类与服务类投诉双双下降，其中商品类投诉环比下降2.3个百分点，占下降量66.7%，日用百货、食品、交通工具、通信器材投诉量下降居前。从投诉问题看，质量问题投诉下降明显，环比下降6个百分点，其中服务质量投诉下降10.1个百分点，占下降量75%，餐饮服务、住宿服务、美容美发服务是服务类质量问题投诉下降的主要类别。</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2、房屋装修投诉上升明显</w:t>
      </w:r>
      <w:r>
        <w:rPr>
          <w:rFonts w:hint="eastAsia" w:ascii="仿宋" w:hAnsi="仿宋" w:eastAsia="仿宋" w:cs="仿宋"/>
          <w:b w:val="0"/>
          <w:bCs w:val="0"/>
          <w:sz w:val="28"/>
          <w:szCs w:val="28"/>
          <w:lang w:val="en-US" w:eastAsia="zh-CN"/>
        </w:rPr>
        <w:t>。共有13件投诉，环比上升5件，升幅62.5%，其中，针对舟山天地和装修公司一家的投诉就占了6件，占比46.1 %。从投诉问题看，装修合同纠纷最多，共10件，占76.9%，主要为装修公司未按合同约定期限完成房屋装修工程及消费者要求退还装修定金引发的纠纷。此外，还有部分为装修效果、售后服务问题引发的纠纷。</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3、销售服务投诉依然较多。</w:t>
      </w:r>
      <w:r>
        <w:rPr>
          <w:rFonts w:hint="eastAsia" w:ascii="仿宋" w:hAnsi="仿宋" w:eastAsia="仿宋" w:cs="仿宋"/>
          <w:b w:val="0"/>
          <w:bCs w:val="0"/>
          <w:sz w:val="28"/>
          <w:szCs w:val="28"/>
          <w:lang w:val="en-US" w:eastAsia="zh-CN"/>
        </w:rPr>
        <w:t>共发生投诉19件，涉及汽车销售、商超销售、网上销售、家电销售、房屋销售等多个领域，与上月相比微升1件，投诉量依然维持高位，位居月度第二位。投诉问题以合同纠纷居多，共有7件，占36.8%，其中，又以汽车销售合同纠纷最为突出。此外价格问题、宣传问题、售后服务问题也各有2-3件投诉。</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4、游客投诉有所增多。</w:t>
      </w:r>
      <w:r>
        <w:rPr>
          <w:rFonts w:hint="eastAsia" w:ascii="仿宋" w:hAnsi="仿宋" w:eastAsia="仿宋" w:cs="仿宋"/>
          <w:b w:val="0"/>
          <w:bCs w:val="0"/>
          <w:sz w:val="28"/>
          <w:szCs w:val="28"/>
          <w:lang w:val="en-US" w:eastAsia="zh-CN"/>
        </w:rPr>
        <w:t>12月份，共发生游客投诉16件，环比上升8件，数量翻番。投诉领域主要集中于服务方面，涉及住宿、餐饮、旅游、购物服务，投诉的具体问题主要为不按约定提供网上预订的住宿客房、客房设施条件差、餐饮菜品存在质量问题、购物遭遇高价陷阱等。</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三、典型案例</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案例一：</w:t>
      </w:r>
      <w:r>
        <w:rPr>
          <w:rFonts w:hint="eastAsia" w:ascii="仿宋" w:hAnsi="仿宋" w:eastAsia="仿宋" w:cs="仿宋"/>
          <w:b w:val="0"/>
          <w:bCs w:val="0"/>
          <w:sz w:val="28"/>
          <w:szCs w:val="28"/>
          <w:lang w:val="en-US" w:eastAsia="zh-CN"/>
        </w:rPr>
        <w:t>颜女士在定海一商店花7400多元钱购买了康宝莱营养套餐用于儿子减肥，其儿子食用一个月后出现头痛头晕症状，其让儿子停吃一个星期后症状消失，剩下还有一个半月的量要求店家退款，被拒。</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处理结果：</w:t>
      </w:r>
      <w:r>
        <w:rPr>
          <w:rFonts w:hint="eastAsia" w:ascii="仿宋" w:hAnsi="仿宋" w:eastAsia="仿宋" w:cs="仿宋"/>
          <w:b w:val="0"/>
          <w:bCs w:val="0"/>
          <w:sz w:val="28"/>
          <w:szCs w:val="28"/>
          <w:lang w:val="en-US" w:eastAsia="zh-CN"/>
        </w:rPr>
        <w:t>经调解，店家退还了4200元费用。</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案例二：</w:t>
      </w:r>
      <w:r>
        <w:rPr>
          <w:rFonts w:hint="eastAsia" w:ascii="仿宋" w:hAnsi="仿宋" w:eastAsia="仿宋" w:cs="仿宋"/>
          <w:b w:val="0"/>
          <w:bCs w:val="0"/>
          <w:sz w:val="28"/>
          <w:szCs w:val="28"/>
          <w:lang w:val="en-US" w:eastAsia="zh-CN"/>
        </w:rPr>
        <w:t>郑女士于11月4日在新城一商场购买了一块美度手表，11月12日发现手表时间比正常快了4、5分钟，向店家反映后让其再带1个月看看，直到12月13日手表问题依然存在。经检测，该手表确实存在质量问题，郑女士要求更换，被店家拒绝。</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处理结果：</w:t>
      </w:r>
      <w:r>
        <w:rPr>
          <w:rFonts w:hint="eastAsia" w:ascii="仿宋" w:hAnsi="仿宋" w:eastAsia="仿宋" w:cs="仿宋"/>
          <w:b w:val="0"/>
          <w:bCs w:val="0"/>
          <w:sz w:val="28"/>
          <w:szCs w:val="28"/>
          <w:lang w:val="en-US" w:eastAsia="zh-CN"/>
        </w:rPr>
        <w:t>经调解，店家更换了手表机芯。</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案例三：</w:t>
      </w:r>
      <w:r>
        <w:rPr>
          <w:rFonts w:hint="eastAsia" w:ascii="仿宋" w:hAnsi="仿宋" w:eastAsia="仿宋" w:cs="仿宋"/>
          <w:b w:val="0"/>
          <w:bCs w:val="0"/>
          <w:sz w:val="28"/>
          <w:szCs w:val="28"/>
          <w:lang w:val="en-US" w:eastAsia="zh-CN"/>
        </w:rPr>
        <w:t>韩先生于12月21日下午在新城一汽车销售店预订了一辆汽车，交了5000元定金，并签订了分期贷款合同，当时，工作人员只告知其需要4200元手续费，但后来又要求其缴纳1500元服务费，双方发生纠纷，韩先生要求退还定金。</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处理结果：</w:t>
      </w:r>
      <w:r>
        <w:rPr>
          <w:rFonts w:hint="eastAsia" w:ascii="仿宋" w:hAnsi="仿宋" w:eastAsia="仿宋" w:cs="仿宋"/>
          <w:b w:val="0"/>
          <w:bCs w:val="0"/>
          <w:sz w:val="28"/>
          <w:szCs w:val="28"/>
          <w:lang w:val="en-US" w:eastAsia="zh-CN"/>
        </w:rPr>
        <w:t>经沟通，店家优惠了1000元购车款作为补偿。</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案例四：</w:t>
      </w:r>
      <w:r>
        <w:rPr>
          <w:rFonts w:hint="eastAsia" w:ascii="仿宋" w:hAnsi="仿宋" w:eastAsia="仿宋" w:cs="仿宋"/>
          <w:b w:val="0"/>
          <w:bCs w:val="0"/>
          <w:sz w:val="28"/>
          <w:szCs w:val="28"/>
          <w:lang w:val="en-US" w:eastAsia="zh-CN"/>
        </w:rPr>
        <w:t>王女士等一行到普陀东港一咖啡厅就餐，除在咖啡厅按包厢消费标准点了菜外，还点了3份外卖，买单时店家要收取自带外卖服务费30元。王女士认为外卖员送餐时店家并未告知要收取服务费，且店内也未张贴任何告示，要求退还30元服务费。</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处理结果：</w:t>
      </w:r>
      <w:r>
        <w:rPr>
          <w:rFonts w:hint="eastAsia" w:ascii="仿宋" w:hAnsi="仿宋" w:eastAsia="仿宋" w:cs="仿宋"/>
          <w:b w:val="0"/>
          <w:bCs w:val="0"/>
          <w:sz w:val="28"/>
          <w:szCs w:val="28"/>
          <w:lang w:val="en-US" w:eastAsia="zh-CN"/>
        </w:rPr>
        <w:t>经调解，店家退还了30元服务费。</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案例五：</w:t>
      </w:r>
      <w:r>
        <w:rPr>
          <w:rFonts w:hint="eastAsia" w:ascii="仿宋" w:hAnsi="仿宋" w:eastAsia="仿宋" w:cs="仿宋"/>
          <w:b w:val="0"/>
          <w:bCs w:val="0"/>
          <w:sz w:val="28"/>
          <w:szCs w:val="28"/>
          <w:lang w:val="en-US" w:eastAsia="zh-CN"/>
        </w:rPr>
        <w:t>鲁先生于11月30日在定海一超市购买商品后，收银员赠送了一张20元红包抵用券，券上标注有使用时间和可使用的门店。现去该超市购物要求使用该券时，收银员称30日的活动海报上有公示，要消费满100元才可以使用，而鲁先生认为券上并没有注明使用条件，双方发生纠纷。</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处理结果：</w:t>
      </w:r>
      <w:r>
        <w:rPr>
          <w:rFonts w:hint="eastAsia" w:ascii="仿宋" w:hAnsi="仿宋" w:eastAsia="仿宋" w:cs="仿宋"/>
          <w:b w:val="0"/>
          <w:bCs w:val="0"/>
          <w:sz w:val="28"/>
          <w:szCs w:val="28"/>
          <w:lang w:val="en-US" w:eastAsia="zh-CN"/>
        </w:rPr>
        <w:t>经协调，店家对该券给予了无条件使用。</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案例六：</w:t>
      </w:r>
      <w:r>
        <w:rPr>
          <w:rFonts w:hint="eastAsia" w:ascii="仿宋" w:hAnsi="仿宋" w:eastAsia="仿宋" w:cs="仿宋"/>
          <w:b w:val="0"/>
          <w:bCs w:val="0"/>
          <w:sz w:val="28"/>
          <w:szCs w:val="28"/>
          <w:lang w:val="en-US" w:eastAsia="zh-CN"/>
        </w:rPr>
        <w:t>孟先生</w:t>
      </w:r>
      <w:r>
        <w:rPr>
          <w:rFonts w:hint="eastAsia" w:ascii="仿宋" w:hAnsi="仿宋" w:eastAsia="仿宋" w:cs="仿宋"/>
          <w:sz w:val="28"/>
          <w:szCs w:val="28"/>
        </w:rPr>
        <w:t>于2018年4月25日与</w:t>
      </w:r>
      <w:r>
        <w:rPr>
          <w:rFonts w:hint="eastAsia" w:ascii="仿宋" w:hAnsi="仿宋" w:eastAsia="仿宋" w:cs="仿宋"/>
          <w:sz w:val="28"/>
          <w:szCs w:val="28"/>
          <w:lang w:eastAsia="zh-CN"/>
        </w:rPr>
        <w:t>新城某</w:t>
      </w:r>
      <w:r>
        <w:rPr>
          <w:rFonts w:hint="eastAsia" w:ascii="仿宋" w:hAnsi="仿宋" w:eastAsia="仿宋" w:cs="仿宋"/>
          <w:sz w:val="28"/>
          <w:szCs w:val="28"/>
        </w:rPr>
        <w:t>装修公司签订</w:t>
      </w:r>
      <w:r>
        <w:rPr>
          <w:rFonts w:hint="eastAsia" w:ascii="仿宋" w:hAnsi="仿宋" w:eastAsia="仿宋" w:cs="仿宋"/>
          <w:sz w:val="28"/>
          <w:szCs w:val="28"/>
          <w:lang w:eastAsia="zh-CN"/>
        </w:rPr>
        <w:t>了房屋装修</w:t>
      </w:r>
      <w:r>
        <w:rPr>
          <w:rFonts w:hint="eastAsia" w:ascii="仿宋" w:hAnsi="仿宋" w:eastAsia="仿宋" w:cs="仿宋"/>
          <w:sz w:val="28"/>
          <w:szCs w:val="28"/>
        </w:rPr>
        <w:t>合同，5月5日开工，约定</w:t>
      </w:r>
      <w:bookmarkStart w:id="0" w:name="_GoBack"/>
      <w:bookmarkEnd w:id="0"/>
      <w:r>
        <w:rPr>
          <w:rFonts w:hint="eastAsia" w:ascii="仿宋" w:hAnsi="仿宋" w:eastAsia="仿宋" w:cs="仿宋"/>
          <w:sz w:val="28"/>
          <w:szCs w:val="28"/>
        </w:rPr>
        <w:t>90个工作日</w:t>
      </w:r>
      <w:r>
        <w:rPr>
          <w:rFonts w:hint="eastAsia" w:ascii="仿宋" w:hAnsi="仿宋" w:eastAsia="仿宋" w:cs="仿宋"/>
          <w:sz w:val="28"/>
          <w:szCs w:val="28"/>
          <w:lang w:eastAsia="zh-CN"/>
        </w:rPr>
        <w:t>完成</w:t>
      </w:r>
      <w:r>
        <w:rPr>
          <w:rFonts w:hint="eastAsia" w:ascii="仿宋" w:hAnsi="仿宋" w:eastAsia="仿宋" w:cs="仿宋"/>
          <w:sz w:val="28"/>
          <w:szCs w:val="28"/>
        </w:rPr>
        <w:t>，现</w:t>
      </w:r>
      <w:r>
        <w:rPr>
          <w:rFonts w:hint="eastAsia" w:ascii="仿宋" w:hAnsi="仿宋" w:eastAsia="仿宋" w:cs="仿宋"/>
          <w:sz w:val="28"/>
          <w:szCs w:val="28"/>
          <w:lang w:eastAsia="zh-CN"/>
        </w:rPr>
        <w:t>时间</w:t>
      </w:r>
      <w:r>
        <w:rPr>
          <w:rFonts w:hint="eastAsia" w:ascii="仿宋" w:hAnsi="仿宋" w:eastAsia="仿宋" w:cs="仿宋"/>
          <w:sz w:val="28"/>
          <w:szCs w:val="28"/>
        </w:rPr>
        <w:t>已</w:t>
      </w:r>
      <w:r>
        <w:rPr>
          <w:rFonts w:hint="eastAsia" w:ascii="仿宋" w:hAnsi="仿宋" w:eastAsia="仿宋" w:cs="仿宋"/>
          <w:sz w:val="28"/>
          <w:szCs w:val="28"/>
          <w:lang w:eastAsia="zh-CN"/>
        </w:rPr>
        <w:t>过</w:t>
      </w:r>
      <w:r>
        <w:rPr>
          <w:rFonts w:hint="eastAsia" w:ascii="仿宋" w:hAnsi="仿宋" w:eastAsia="仿宋" w:cs="仿宋"/>
          <w:sz w:val="28"/>
          <w:szCs w:val="28"/>
        </w:rPr>
        <w:t>半年，</w:t>
      </w:r>
      <w:r>
        <w:rPr>
          <w:rFonts w:hint="eastAsia" w:ascii="仿宋" w:hAnsi="仿宋" w:eastAsia="仿宋" w:cs="仿宋"/>
          <w:sz w:val="28"/>
          <w:szCs w:val="28"/>
          <w:lang w:eastAsia="zh-CN"/>
        </w:rPr>
        <w:t>装修</w:t>
      </w:r>
      <w:r>
        <w:rPr>
          <w:rFonts w:hint="eastAsia" w:ascii="仿宋" w:hAnsi="仿宋" w:eastAsia="仿宋" w:cs="仿宋"/>
          <w:sz w:val="28"/>
          <w:szCs w:val="28"/>
        </w:rPr>
        <w:t>还未完工</w:t>
      </w:r>
      <w:r>
        <w:rPr>
          <w:rFonts w:hint="eastAsia" w:ascii="仿宋" w:hAnsi="仿宋" w:eastAsia="仿宋" w:cs="仿宋"/>
          <w:sz w:val="28"/>
          <w:szCs w:val="28"/>
          <w:lang w:eastAsia="zh-CN"/>
        </w:rPr>
        <w:t>，</w:t>
      </w:r>
      <w:r>
        <w:rPr>
          <w:rFonts w:hint="eastAsia" w:ascii="仿宋" w:hAnsi="仿宋" w:eastAsia="仿宋" w:cs="仿宋"/>
          <w:sz w:val="28"/>
          <w:szCs w:val="28"/>
        </w:rPr>
        <w:t>约定家具</w:t>
      </w:r>
      <w:r>
        <w:rPr>
          <w:rFonts w:hint="eastAsia" w:ascii="仿宋" w:hAnsi="仿宋" w:eastAsia="仿宋" w:cs="仿宋"/>
          <w:sz w:val="28"/>
          <w:szCs w:val="28"/>
          <w:lang w:eastAsia="zh-CN"/>
        </w:rPr>
        <w:t>在</w:t>
      </w:r>
      <w:r>
        <w:rPr>
          <w:rFonts w:hint="eastAsia" w:ascii="仿宋" w:hAnsi="仿宋" w:eastAsia="仿宋" w:cs="仿宋"/>
          <w:sz w:val="28"/>
          <w:szCs w:val="28"/>
        </w:rPr>
        <w:t>付尾款后15个工作日送到，</w:t>
      </w:r>
      <w:r>
        <w:rPr>
          <w:rFonts w:hint="eastAsia" w:ascii="仿宋" w:hAnsi="仿宋" w:eastAsia="仿宋" w:cs="仿宋"/>
          <w:sz w:val="28"/>
          <w:szCs w:val="28"/>
          <w:lang w:eastAsia="zh-CN"/>
        </w:rPr>
        <w:t>现也一直拖着，</w:t>
      </w:r>
      <w:r>
        <w:rPr>
          <w:rFonts w:hint="eastAsia" w:ascii="仿宋" w:hAnsi="仿宋" w:eastAsia="仿宋" w:cs="仿宋"/>
          <w:sz w:val="28"/>
          <w:szCs w:val="28"/>
        </w:rPr>
        <w:t>多番催促仍没有给出确定时间</w:t>
      </w:r>
      <w:r>
        <w:rPr>
          <w:rFonts w:hint="eastAsia" w:ascii="仿宋" w:hAnsi="仿宋" w:eastAsia="仿宋" w:cs="仿宋"/>
          <w:sz w:val="28"/>
          <w:szCs w:val="28"/>
          <w:lang w:eastAsia="zh-CN"/>
        </w:rPr>
        <w:t>。</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处理结果：</w:t>
      </w:r>
      <w:r>
        <w:rPr>
          <w:rFonts w:hint="eastAsia" w:ascii="仿宋" w:hAnsi="仿宋" w:eastAsia="仿宋" w:cs="仿宋"/>
          <w:sz w:val="28"/>
          <w:szCs w:val="28"/>
          <w:lang w:val="en-US" w:eastAsia="zh-CN"/>
        </w:rPr>
        <w:t>经调解，店家答应在2019年1月底前完成全部工程。</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案例七：</w:t>
      </w:r>
      <w:r>
        <w:rPr>
          <w:rFonts w:hint="eastAsia" w:ascii="仿宋" w:hAnsi="仿宋" w:eastAsia="仿宋" w:cs="仿宋"/>
          <w:sz w:val="28"/>
          <w:szCs w:val="28"/>
          <w:lang w:val="en-US" w:eastAsia="zh-CN"/>
        </w:rPr>
        <w:t>游客</w:t>
      </w:r>
      <w:r>
        <w:rPr>
          <w:rFonts w:hint="eastAsia" w:ascii="仿宋" w:hAnsi="仿宋" w:eastAsia="仿宋" w:cs="仿宋"/>
          <w:sz w:val="28"/>
          <w:szCs w:val="28"/>
        </w:rPr>
        <w:t>何先生</w:t>
      </w:r>
      <w:r>
        <w:rPr>
          <w:rFonts w:hint="eastAsia" w:ascii="仿宋" w:hAnsi="仿宋" w:eastAsia="仿宋" w:cs="仿宋"/>
          <w:sz w:val="28"/>
          <w:szCs w:val="28"/>
          <w:lang w:eastAsia="zh-CN"/>
        </w:rPr>
        <w:t>通过</w:t>
      </w:r>
      <w:r>
        <w:rPr>
          <w:rFonts w:hint="eastAsia" w:ascii="仿宋" w:hAnsi="仿宋" w:eastAsia="仿宋" w:cs="仿宋"/>
          <w:sz w:val="28"/>
          <w:szCs w:val="28"/>
        </w:rPr>
        <w:t>网络平台预</w:t>
      </w:r>
      <w:r>
        <w:rPr>
          <w:rFonts w:hint="eastAsia" w:ascii="仿宋" w:hAnsi="仿宋" w:eastAsia="仿宋" w:cs="仿宋"/>
          <w:sz w:val="28"/>
          <w:szCs w:val="28"/>
          <w:lang w:eastAsia="zh-CN"/>
        </w:rPr>
        <w:t>订了</w:t>
      </w:r>
      <w:r>
        <w:rPr>
          <w:rFonts w:hint="eastAsia" w:ascii="仿宋" w:hAnsi="仿宋" w:eastAsia="仿宋" w:cs="仿宋"/>
          <w:sz w:val="28"/>
          <w:szCs w:val="28"/>
        </w:rPr>
        <w:t>普陀山</w:t>
      </w:r>
      <w:r>
        <w:rPr>
          <w:rFonts w:hint="eastAsia" w:ascii="仿宋" w:hAnsi="仿宋" w:eastAsia="仿宋" w:cs="仿宋"/>
          <w:sz w:val="28"/>
          <w:szCs w:val="28"/>
          <w:lang w:eastAsia="zh-CN"/>
        </w:rPr>
        <w:t>一民宿</w:t>
      </w:r>
      <w:r>
        <w:rPr>
          <w:rFonts w:hint="eastAsia" w:ascii="仿宋" w:hAnsi="仿宋" w:eastAsia="仿宋" w:cs="仿宋"/>
          <w:sz w:val="28"/>
          <w:szCs w:val="28"/>
        </w:rPr>
        <w:t>3间客房，支付房费800元，到店后发现已无房间，</w:t>
      </w:r>
      <w:r>
        <w:rPr>
          <w:rFonts w:hint="eastAsia" w:ascii="仿宋" w:hAnsi="仿宋" w:eastAsia="仿宋" w:cs="仿宋"/>
          <w:sz w:val="28"/>
          <w:szCs w:val="28"/>
          <w:lang w:eastAsia="zh-CN"/>
        </w:rPr>
        <w:t>与店家一起联系网络平台</w:t>
      </w:r>
      <w:r>
        <w:rPr>
          <w:rFonts w:hint="eastAsia" w:ascii="仿宋" w:hAnsi="仿宋" w:eastAsia="仿宋" w:cs="仿宋"/>
          <w:sz w:val="28"/>
          <w:szCs w:val="28"/>
        </w:rPr>
        <w:t>一直无人接听，订单无法取消，双方</w:t>
      </w:r>
      <w:r>
        <w:rPr>
          <w:rFonts w:hint="eastAsia" w:ascii="仿宋" w:hAnsi="仿宋" w:eastAsia="仿宋" w:cs="仿宋"/>
          <w:sz w:val="28"/>
          <w:szCs w:val="28"/>
          <w:lang w:eastAsia="zh-CN"/>
        </w:rPr>
        <w:t>发生纠纷</w:t>
      </w:r>
      <w:r>
        <w:rPr>
          <w:rFonts w:hint="eastAsia" w:ascii="仿宋" w:hAnsi="仿宋" w:eastAsia="仿宋" w:cs="仿宋"/>
          <w:sz w:val="28"/>
          <w:szCs w:val="28"/>
        </w:rPr>
        <w:t>。</w:t>
      </w:r>
    </w:p>
    <w:p>
      <w:pPr>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lang w:eastAsia="zh-CN"/>
        </w:rPr>
        <w:t>处理结果：</w:t>
      </w:r>
      <w:r>
        <w:rPr>
          <w:rFonts w:hint="eastAsia" w:ascii="仿宋" w:hAnsi="仿宋" w:eastAsia="仿宋" w:cs="仿宋"/>
          <w:sz w:val="28"/>
          <w:szCs w:val="28"/>
          <w:lang w:eastAsia="zh-CN"/>
        </w:rPr>
        <w:t>经调解，双方次日再次联系平台客服，取消</w:t>
      </w:r>
      <w:r>
        <w:rPr>
          <w:rFonts w:hint="eastAsia" w:ascii="仿宋" w:hAnsi="仿宋" w:eastAsia="仿宋" w:cs="仿宋"/>
          <w:sz w:val="28"/>
          <w:szCs w:val="28"/>
        </w:rPr>
        <w:t>订单</w:t>
      </w:r>
      <w:r>
        <w:rPr>
          <w:rFonts w:hint="eastAsia" w:ascii="仿宋" w:hAnsi="仿宋" w:eastAsia="仿宋" w:cs="仿宋"/>
          <w:sz w:val="28"/>
          <w:szCs w:val="28"/>
          <w:lang w:eastAsia="zh-CN"/>
        </w:rPr>
        <w:t>退回了</w:t>
      </w:r>
      <w:r>
        <w:rPr>
          <w:rFonts w:hint="eastAsia" w:ascii="仿宋" w:hAnsi="仿宋" w:eastAsia="仿宋" w:cs="仿宋"/>
          <w:sz w:val="28"/>
          <w:szCs w:val="28"/>
        </w:rPr>
        <w:t>钱。</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E836"/>
    <w:multiLevelType w:val="singleLevel"/>
    <w:tmpl w:val="0B75E8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D5C79"/>
    <w:rsid w:val="0C445495"/>
    <w:rsid w:val="41FE0C7E"/>
    <w:rsid w:val="44EA055F"/>
    <w:rsid w:val="55A65617"/>
    <w:rsid w:val="637A39DE"/>
    <w:rsid w:val="78BC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8544754347065"/>
          <c:y val="0.0420017873100983"/>
          <c:w val="0.911471583615358"/>
          <c:h val="0.793279714030384"/>
        </c:manualLayout>
      </c:layout>
      <c:lineChart>
        <c:grouping val="standard"/>
        <c:varyColors val="0"/>
        <c:ser>
          <c:idx val="0"/>
          <c:order val="0"/>
          <c:tx>
            <c:strRef>
              <c:f>Sheet1!$B$1</c:f>
              <c:strCache>
                <c:ptCount val="1"/>
                <c:pt idx="0">
                  <c:v>2017年</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0.005625"/>
                  <c:y val="0"/>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7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3125"/>
                  <c:y val="0.08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77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175049597385926"/>
                  <c:y val="0.10087025316455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solidFill>
                <a:schemeClr val="accent1"/>
              </a:solid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一月</c:v>
                </c:pt>
                <c:pt idx="1">
                  <c:v>二月</c:v>
                </c:pt>
                <c:pt idx="2">
                  <c:v>三月</c:v>
                </c:pt>
                <c:pt idx="3">
                  <c:v>四月</c:v>
                </c:pt>
                <c:pt idx="4">
                  <c:v>五月</c:v>
                </c:pt>
                <c:pt idx="5">
                  <c:v>六月</c:v>
                </c:pt>
                <c:pt idx="6">
                  <c:v>七月</c:v>
                </c:pt>
                <c:pt idx="7">
                  <c:v>八月</c:v>
                </c:pt>
                <c:pt idx="8">
                  <c:v>九月</c:v>
                </c:pt>
                <c:pt idx="9">
                  <c:v>十月</c:v>
                </c:pt>
                <c:pt idx="10">
                  <c:v>十一月</c:v>
                </c:pt>
                <c:pt idx="11">
                  <c:v>十二月</c:v>
                </c:pt>
              </c:strCache>
            </c:strRef>
          </c:cat>
          <c:val>
            <c:numRef>
              <c:f>Sheet1!$B$2:$B$13</c:f>
              <c:numCache>
                <c:formatCode>General</c:formatCode>
                <c:ptCount val="12"/>
                <c:pt idx="0">
                  <c:v>231</c:v>
                </c:pt>
                <c:pt idx="1">
                  <c:v>226</c:v>
                </c:pt>
                <c:pt idx="2">
                  <c:v>305</c:v>
                </c:pt>
                <c:pt idx="3">
                  <c:v>252</c:v>
                </c:pt>
                <c:pt idx="4">
                  <c:v>228</c:v>
                </c:pt>
                <c:pt idx="5">
                  <c:v>227</c:v>
                </c:pt>
                <c:pt idx="6">
                  <c:v>278</c:v>
                </c:pt>
                <c:pt idx="7">
                  <c:v>368</c:v>
                </c:pt>
                <c:pt idx="8">
                  <c:v>240</c:v>
                </c:pt>
                <c:pt idx="9">
                  <c:v>288</c:v>
                </c:pt>
                <c:pt idx="10">
                  <c:v>209</c:v>
                </c:pt>
                <c:pt idx="11">
                  <c:v>168</c:v>
                </c:pt>
              </c:numCache>
            </c:numRef>
          </c:val>
          <c:smooth val="0"/>
        </c:ser>
        <c:ser>
          <c:idx val="1"/>
          <c:order val="1"/>
          <c:tx>
            <c:strRef>
              <c:f>Sheet1!$C$1</c:f>
              <c:strCache>
                <c:ptCount val="1"/>
                <c:pt idx="0">
                  <c:v>2018年</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0075"/>
                  <c:y val="0.08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375"/>
                  <c:y val="0.0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75"/>
                  <c:y val="0.087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25"/>
                  <c:y val="0.09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375"/>
                  <c:y val="0.092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375"/>
                  <c:y val="0.092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75"/>
                  <c:y val="0.102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75"/>
                  <c:y val="0.09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75"/>
                  <c:y val="0.0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525148792157778"/>
                  <c:y val="0.008900316455696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solidFill>
                <a:schemeClr val="accent2"/>
              </a:solid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一月</c:v>
                </c:pt>
                <c:pt idx="1">
                  <c:v>二月</c:v>
                </c:pt>
                <c:pt idx="2">
                  <c:v>三月</c:v>
                </c:pt>
                <c:pt idx="3">
                  <c:v>四月</c:v>
                </c:pt>
                <c:pt idx="4">
                  <c:v>五月</c:v>
                </c:pt>
                <c:pt idx="5">
                  <c:v>六月</c:v>
                </c:pt>
                <c:pt idx="6">
                  <c:v>七月</c:v>
                </c:pt>
                <c:pt idx="7">
                  <c:v>八月</c:v>
                </c:pt>
                <c:pt idx="8">
                  <c:v>九月</c:v>
                </c:pt>
                <c:pt idx="9">
                  <c:v>十月</c:v>
                </c:pt>
                <c:pt idx="10">
                  <c:v>十一月</c:v>
                </c:pt>
                <c:pt idx="11">
                  <c:v>十二月</c:v>
                </c:pt>
              </c:strCache>
            </c:strRef>
          </c:cat>
          <c:val>
            <c:numRef>
              <c:f>Sheet1!$C$2:$C$13</c:f>
              <c:numCache>
                <c:formatCode>General</c:formatCode>
                <c:ptCount val="12"/>
                <c:pt idx="0">
                  <c:v>216</c:v>
                </c:pt>
                <c:pt idx="1">
                  <c:v>168</c:v>
                </c:pt>
                <c:pt idx="2">
                  <c:v>243</c:v>
                </c:pt>
                <c:pt idx="3">
                  <c:v>216</c:v>
                </c:pt>
                <c:pt idx="4">
                  <c:v>228</c:v>
                </c:pt>
                <c:pt idx="5">
                  <c:v>204</c:v>
                </c:pt>
                <c:pt idx="6">
                  <c:v>318</c:v>
                </c:pt>
                <c:pt idx="7">
                  <c:v>331</c:v>
                </c:pt>
                <c:pt idx="8">
                  <c:v>272</c:v>
                </c:pt>
                <c:pt idx="9">
                  <c:v>224</c:v>
                </c:pt>
                <c:pt idx="10">
                  <c:v>204</c:v>
                </c:pt>
                <c:pt idx="11">
                  <c:v>183</c:v>
                </c:pt>
              </c:numCache>
            </c:numRef>
          </c:val>
          <c:smooth val="0"/>
        </c:ser>
        <c:dLbls>
          <c:showLegendKey val="0"/>
          <c:showVal val="1"/>
          <c:showCatName val="0"/>
          <c:showSerName val="0"/>
          <c:showPercent val="0"/>
          <c:showBubbleSize val="0"/>
        </c:dLbls>
        <c:marker val="1"/>
        <c:smooth val="0"/>
        <c:axId val="881500690"/>
        <c:axId val="854511364"/>
      </c:lineChart>
      <c:catAx>
        <c:axId val="88150069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4511364"/>
        <c:crosses val="autoZero"/>
        <c:auto val="1"/>
        <c:lblAlgn val="ctr"/>
        <c:lblOffset val="100"/>
        <c:noMultiLvlLbl val="0"/>
      </c:catAx>
      <c:valAx>
        <c:axId val="8545113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150069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rgbClr val="FF0000"/>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9732569561383"/>
          <c:y val="0.141587276455401"/>
          <c:w val="0.58"/>
          <c:h val="0.773333333333333"/>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Pt>
            <c:idx val="14"/>
            <c:bubble3D val="0"/>
            <c:spPr>
              <a:solidFill>
                <a:schemeClr val="accent3">
                  <a:lumMod val="80000"/>
                  <a:lumOff val="20000"/>
                </a:schemeClr>
              </a:solidFill>
              <a:ln w="19050">
                <a:solidFill>
                  <a:schemeClr val="lt1"/>
                </a:solidFill>
              </a:ln>
              <a:effectLst/>
            </c:spPr>
          </c:dPt>
          <c:dLbls>
            <c:dLbl>
              <c:idx val="0"/>
              <c:layout>
                <c:manualLayout>
                  <c:x val="-0.0234544142410392"/>
                  <c:y val="-0.0321184719624836"/>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家用电器</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9</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
                  <c:y val="-0.0610228593568384"/>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通讯器材类</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1</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667548713014193"/>
                  <c:y val="0.0493994575745835"/>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计算机及配套设备类 1</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manualLayout>
                      <c:w val="0.222636516718788"/>
                      <c:h val="0.0953118946144905"/>
                    </c:manualLayout>
                  </c15:layout>
                </c:ext>
              </c:extLst>
            </c:dLbl>
            <c:dLbl>
              <c:idx val="3"/>
              <c:layout>
                <c:manualLayout>
                  <c:x val="0.0757757998556651"/>
                  <c:y val="0.00290585044556373"/>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日用百货类</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19</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58768342554727"/>
                  <c:y val="-0.0326598478780873"/>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食品类</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20</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595381284580226"/>
                  <c:y val="0.0348702053467648"/>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家居用品</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5</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交通工具类</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8</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outEnd"/>
              <c:showLegendKey val="0"/>
              <c:showVal val="1"/>
              <c:showCatName val="1"/>
              <c:showSerName val="0"/>
              <c:showPercent val="0"/>
              <c:showBubbleSize val="0"/>
              <c:extLst>
                <c:ext xmlns:c15="http://schemas.microsoft.com/office/drawing/2012/chart" uri="{CE6537A1-D6FC-4f65-9D91-7224C49458BB}"/>
              </c:extLst>
            </c:dLbl>
            <c:dLbl>
              <c:idx val="8"/>
              <c:layout>
                <c:manualLayout>
                  <c:x val="-0.0360837142169834"/>
                  <c:y val="0.0174351026733824"/>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装修建材类</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8</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0"/>
              <c:layout>
                <c:manualLayout>
                  <c:x val="-0.0559297570363243"/>
                  <c:y val="0.014529252227818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1"/>
              <c:layout>
                <c:manualLayout>
                  <c:x val="-0.0685590570122685"/>
                  <c:y val="-0.0581170089112747"/>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房屋</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4</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4"/>
              <c:layout>
                <c:manualLayout>
                  <c:x val="-0.00180418571084917"/>
                  <c:y val="-0.0107118956468084"/>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其他类</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5</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家用电器</c:v>
                </c:pt>
                <c:pt idx="1">
                  <c:v>通讯器材类</c:v>
                </c:pt>
                <c:pt idx="2">
                  <c:v>计算机及配套设备类</c:v>
                </c:pt>
                <c:pt idx="3">
                  <c:v>日用百货类</c:v>
                </c:pt>
                <c:pt idx="4">
                  <c:v>食品类</c:v>
                </c:pt>
                <c:pt idx="5">
                  <c:v>家居用品</c:v>
                </c:pt>
                <c:pt idx="6">
                  <c:v>交通工具类</c:v>
                </c:pt>
                <c:pt idx="7">
                  <c:v>农用生产资料类</c:v>
                </c:pt>
                <c:pt idx="8">
                  <c:v>装修建材类</c:v>
                </c:pt>
                <c:pt idx="9">
                  <c:v>文化运动娱乐用品类</c:v>
                </c:pt>
                <c:pt idx="10">
                  <c:v>医药和医疗用品类</c:v>
                </c:pt>
                <c:pt idx="11">
                  <c:v>房屋</c:v>
                </c:pt>
                <c:pt idx="12">
                  <c:v>金银珠宝</c:v>
                </c:pt>
                <c:pt idx="13">
                  <c:v>燃料</c:v>
                </c:pt>
                <c:pt idx="14">
                  <c:v>其他类</c:v>
                </c:pt>
              </c:strCache>
            </c:strRef>
          </c:cat>
          <c:val>
            <c:numRef>
              <c:f>Sheet1!$B$2:$B$16</c:f>
              <c:numCache>
                <c:formatCode>0_ </c:formatCode>
                <c:ptCount val="15"/>
                <c:pt idx="0">
                  <c:v>9</c:v>
                </c:pt>
                <c:pt idx="1">
                  <c:v>1</c:v>
                </c:pt>
                <c:pt idx="2" c:formatCode="General">
                  <c:v>1</c:v>
                </c:pt>
                <c:pt idx="3">
                  <c:v>19</c:v>
                </c:pt>
                <c:pt idx="4" c:formatCode="General">
                  <c:v>20</c:v>
                </c:pt>
                <c:pt idx="5" c:formatCode="General">
                  <c:v>5</c:v>
                </c:pt>
                <c:pt idx="6">
                  <c:v>8</c:v>
                </c:pt>
                <c:pt idx="8">
                  <c:v>8</c:v>
                </c:pt>
                <c:pt idx="10">
                  <c:v>2</c:v>
                </c:pt>
                <c:pt idx="11">
                  <c:v>4</c:v>
                </c:pt>
                <c:pt idx="14">
                  <c:v>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accent4"/>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529432326622"/>
          <c:y val="0.106516099926691"/>
          <c:w val="0.555625"/>
          <c:h val="0.740833333333333"/>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Pt>
            <c:idx val="14"/>
            <c:bubble3D val="0"/>
            <c:spPr>
              <a:solidFill>
                <a:schemeClr val="accent3">
                  <a:lumMod val="80000"/>
                  <a:lumOff val="20000"/>
                </a:schemeClr>
              </a:solidFill>
              <a:ln w="19050">
                <a:solidFill>
                  <a:schemeClr val="lt1"/>
                </a:solidFill>
              </a:ln>
              <a:effectLst/>
            </c:spPr>
          </c:dPt>
          <c:dPt>
            <c:idx val="15"/>
            <c:bubble3D val="0"/>
            <c:spPr>
              <a:solidFill>
                <a:schemeClr val="accent4">
                  <a:lumMod val="80000"/>
                  <a:lumOff val="20000"/>
                </a:schemeClr>
              </a:solidFill>
              <a:ln w="19050">
                <a:solidFill>
                  <a:schemeClr val="lt1"/>
                </a:solidFill>
              </a:ln>
              <a:effectLst/>
            </c:spPr>
          </c:dPt>
          <c:dPt>
            <c:idx val="16"/>
            <c:bubble3D val="0"/>
            <c:spPr>
              <a:solidFill>
                <a:schemeClr val="accent5">
                  <a:lumMod val="80000"/>
                  <a:lumOff val="20000"/>
                </a:schemeClr>
              </a:solidFill>
              <a:ln w="19050">
                <a:solidFill>
                  <a:schemeClr val="lt1"/>
                </a:solidFill>
              </a:ln>
              <a:effectLst/>
            </c:spPr>
          </c:dPt>
          <c:dPt>
            <c:idx val="17"/>
            <c:bubble3D val="0"/>
            <c:spPr>
              <a:solidFill>
                <a:schemeClr val="accent6">
                  <a:lumMod val="80000"/>
                  <a:lumOff val="20000"/>
                </a:schemeClr>
              </a:solidFill>
              <a:ln w="19050">
                <a:solidFill>
                  <a:schemeClr val="lt1"/>
                </a:solidFill>
              </a:ln>
              <a:effectLst/>
            </c:spPr>
          </c:dPt>
          <c:dPt>
            <c:idx val="18"/>
            <c:bubble3D val="0"/>
            <c:spPr>
              <a:solidFill>
                <a:schemeClr val="accent1">
                  <a:lumMod val="80000"/>
                </a:schemeClr>
              </a:solidFill>
              <a:ln w="19050">
                <a:solidFill>
                  <a:schemeClr val="lt1"/>
                </a:solidFill>
              </a:ln>
              <a:effectLst/>
            </c:spPr>
          </c:dPt>
          <c:dPt>
            <c:idx val="19"/>
            <c:bubble3D val="0"/>
            <c:spPr>
              <a:solidFill>
                <a:schemeClr val="accent2">
                  <a:lumMod val="80000"/>
                </a:schemeClr>
              </a:solidFill>
              <a:ln w="19050">
                <a:solidFill>
                  <a:schemeClr val="lt1"/>
                </a:solidFill>
              </a:ln>
              <a:effectLst/>
            </c:spPr>
          </c:dPt>
          <c:dPt>
            <c:idx val="20"/>
            <c:bubble3D val="0"/>
            <c:spPr>
              <a:solidFill>
                <a:schemeClr val="accent3">
                  <a:lumMod val="80000"/>
                </a:schemeClr>
              </a:solidFill>
              <a:ln w="19050">
                <a:solidFill>
                  <a:schemeClr val="lt1"/>
                </a:solidFill>
              </a:ln>
              <a:effectLst/>
            </c:spPr>
          </c:dPt>
          <c:dPt>
            <c:idx val="21"/>
            <c:bubble3D val="0"/>
            <c:spPr>
              <a:solidFill>
                <a:schemeClr val="accent4">
                  <a:lumMod val="80000"/>
                </a:schemeClr>
              </a:solidFill>
              <a:ln w="19050">
                <a:solidFill>
                  <a:schemeClr val="lt1"/>
                </a:solidFill>
              </a:ln>
              <a:effectLst/>
            </c:spPr>
          </c:dPt>
          <c:dLbls>
            <c:dLbl>
              <c:idx val="0"/>
              <c:layout>
                <c:manualLayout>
                  <c:x val="0.0449424736337488"/>
                  <c:y val="-0.0431399086448993"/>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餐饮服务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20</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0539309683604986"/>
                  <c:y val="-0.0786668922348164"/>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住宿服务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13</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395493767976989"/>
                  <c:y val="-0.032989341904923"/>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美容美发保健服务 4</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09659635666347"/>
                  <c:y val="0"/>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居民服务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3</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15052732502397"/>
                  <c:y val="0.0101505667399763"/>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修理维护服务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6</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37751677852349"/>
                  <c:y val="0.0253764168499408"/>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定制加工服务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1</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0287631831255992"/>
                  <c:y val="0.0228387751649467"/>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装饰装修服务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13</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0.0287631831255993"/>
                  <c:y val="0.096430384029775"/>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租赁服务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1</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8"/>
              <c:layout>
                <c:manualLayout>
                  <c:x val="-0.0413470757430489"/>
                  <c:y val="0.104043309084757"/>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旅游服务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4</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9"/>
              <c:layout>
                <c:manualLayout>
                  <c:x val="-0.0341562799616491"/>
                  <c:y val="0.096430384029775"/>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文化娱乐服务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2</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0"/>
              <c:delete val="1"/>
            </c:dLbl>
            <c:dLbl>
              <c:idx val="11"/>
              <c:delete val="1"/>
            </c:dLbl>
            <c:dLbl>
              <c:idx val="12"/>
              <c:layout>
                <c:manualLayout>
                  <c:x val="-0.0269654841802493"/>
                  <c:y val="0.0456775503298933"/>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通信网络服务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1</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3"/>
              <c:layout>
                <c:manualLayout>
                  <c:x val="-0.0593240651965484"/>
                  <c:y val="0.0101505667399763"/>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交通服务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2</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4"/>
              <c:delete val="1"/>
            </c:dLbl>
            <c:dLbl>
              <c:idx val="15"/>
              <c:layout>
                <c:manualLayout>
                  <c:x val="-0.0341562799616491"/>
                  <c:y val="-0.0558281170698697"/>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物业管理服务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1</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6"/>
              <c:layout>
                <c:manualLayout>
                  <c:x val="-0.0215723873441994"/>
                  <c:y val="-0.114193875824733"/>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培训服务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1</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manualLayout>
                      <c:w val="0.156759348034516"/>
                      <c:h val="0.0832346472678058"/>
                    </c:manualLayout>
                  </c15:layout>
                </c:ext>
              </c:extLst>
            </c:dLbl>
            <c:dLbl>
              <c:idx val="17"/>
              <c:delete val="1"/>
            </c:dLbl>
            <c:dLbl>
              <c:idx val="18"/>
              <c:layout>
                <c:manualLayout>
                  <c:x val="-0.0323585810162991"/>
                  <c:y val="-0.149720859414651"/>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银行服务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4</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9"/>
              <c:layout>
                <c:manualLayout>
                  <c:x val="-0.035953978906999"/>
                  <c:y val="-0.114193875824734"/>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保险服务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6</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0"/>
              <c:layout>
                <c:manualLayout>
                  <c:x val="-0.0790987535953979"/>
                  <c:y val="-0.063441042124852"/>
                </c:manualLayout>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销售服务</a:t>
                    </a:r>
                    <a:endParaRPr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 19</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1"/>
              <c:delete val="1"/>
            </c:dLbl>
            <c:spPr>
              <a:noFill/>
              <a:ln>
                <a:no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Sheet1!$A$2:$A$23</c:f>
              <c:strCache>
                <c:ptCount val="22"/>
                <c:pt idx="0">
                  <c:v>餐饮服务</c:v>
                </c:pt>
                <c:pt idx="1">
                  <c:v>住宿服务</c:v>
                </c:pt>
                <c:pt idx="2">
                  <c:v>美容美发保健服务</c:v>
                </c:pt>
                <c:pt idx="3">
                  <c:v>居民服务</c:v>
                </c:pt>
                <c:pt idx="4">
                  <c:v>修理维护服务</c:v>
                </c:pt>
                <c:pt idx="5">
                  <c:v>定制加工服务</c:v>
                </c:pt>
                <c:pt idx="6">
                  <c:v>装饰装修服务</c:v>
                </c:pt>
                <c:pt idx="7">
                  <c:v>租赁服务</c:v>
                </c:pt>
                <c:pt idx="8">
                  <c:v>旅游服务</c:v>
                </c:pt>
                <c:pt idx="9">
                  <c:v>文化娱乐服务</c:v>
                </c:pt>
                <c:pt idx="10">
                  <c:v>中介服务</c:v>
                </c:pt>
                <c:pt idx="11">
                  <c:v>邮政服务</c:v>
                </c:pt>
                <c:pt idx="12">
                  <c:v>通信网络服务</c:v>
                </c:pt>
                <c:pt idx="13">
                  <c:v>交通服务</c:v>
                </c:pt>
                <c:pt idx="14">
                  <c:v>公用服务</c:v>
                </c:pt>
                <c:pt idx="15">
                  <c:v>物业管理服务</c:v>
                </c:pt>
                <c:pt idx="16">
                  <c:v>培训服务</c:v>
                </c:pt>
                <c:pt idx="17">
                  <c:v>医疗服务</c:v>
                </c:pt>
                <c:pt idx="18">
                  <c:v>银行服务</c:v>
                </c:pt>
                <c:pt idx="19">
                  <c:v>保险服务</c:v>
                </c:pt>
                <c:pt idx="20">
                  <c:v>销售服务</c:v>
                </c:pt>
                <c:pt idx="21">
                  <c:v>其他</c:v>
                </c:pt>
              </c:strCache>
            </c:strRef>
          </c:cat>
          <c:val>
            <c:numRef>
              <c:f>Sheet1!$B$2:$B$23</c:f>
              <c:numCache>
                <c:formatCode>General</c:formatCode>
                <c:ptCount val="22"/>
                <c:pt idx="0">
                  <c:v>20</c:v>
                </c:pt>
                <c:pt idx="1">
                  <c:v>13</c:v>
                </c:pt>
                <c:pt idx="2">
                  <c:v>4</c:v>
                </c:pt>
                <c:pt idx="3">
                  <c:v>3</c:v>
                </c:pt>
                <c:pt idx="4">
                  <c:v>6</c:v>
                </c:pt>
                <c:pt idx="5">
                  <c:v>1</c:v>
                </c:pt>
                <c:pt idx="6">
                  <c:v>13</c:v>
                </c:pt>
                <c:pt idx="7">
                  <c:v>1</c:v>
                </c:pt>
                <c:pt idx="8">
                  <c:v>4</c:v>
                </c:pt>
                <c:pt idx="9">
                  <c:v>2</c:v>
                </c:pt>
                <c:pt idx="10">
                  <c:v>0</c:v>
                </c:pt>
                <c:pt idx="11">
                  <c:v>0</c:v>
                </c:pt>
                <c:pt idx="12">
                  <c:v>1</c:v>
                </c:pt>
                <c:pt idx="13">
                  <c:v>2</c:v>
                </c:pt>
                <c:pt idx="14">
                  <c:v>0</c:v>
                </c:pt>
                <c:pt idx="15">
                  <c:v>1</c:v>
                </c:pt>
                <c:pt idx="16">
                  <c:v>1</c:v>
                </c:pt>
                <c:pt idx="17">
                  <c:v>0</c:v>
                </c:pt>
                <c:pt idx="18">
                  <c:v>4</c:v>
                </c:pt>
                <c:pt idx="19">
                  <c:v>6</c:v>
                </c:pt>
                <c:pt idx="20">
                  <c:v>19</c:v>
                </c:pt>
                <c:pt idx="21">
                  <c:v>0</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28575" cap="flat" cmpd="sng" algn="ctr">
      <a:solidFill>
        <a:schemeClr val="accent6"/>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5"/>
          <c:y val="0.101833333333333"/>
          <c:w val="0.540625"/>
          <c:h val="0.720833333333333"/>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manualLayout>
                  <c:x val="0.0305023923444976"/>
                  <c:y val="-0.0146627565982405"/>
                </c:manualLayout>
              </c:layout>
              <c:tx>
                <c:rich>
                  <a:bodyPr rot="0" spcFirstLastPara="0" vertOverflow="ellipsis" vert="horz" wrap="square" lIns="38100" tIns="19050" rIns="38100" bIns="19050" anchor="ctr" anchorCtr="1"/>
                  <a:lstStyle/>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质量问题</a:t>
                    </a:r>
                    <a:endParaRPr sz="1000"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 67</a:t>
                    </a:r>
                    <a:endParaRPr sz="1000"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55622009569378"/>
                  <c:y val="0.0146627565982405"/>
                </c:manualLayout>
              </c:layout>
              <c:tx>
                <c:rich>
                  <a:bodyPr rot="0" spcFirstLastPara="0" vertOverflow="ellipsis" vert="horz" wrap="square" lIns="38100" tIns="19050" rIns="38100" bIns="19050" anchor="ctr" anchorCtr="1"/>
                  <a:lstStyle/>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安全问题</a:t>
                    </a:r>
                    <a:endParaRPr sz="1000"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 8</a:t>
                    </a:r>
                    <a:endParaRPr sz="1000"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412679425837321"/>
                  <c:y val="0.0439882697947214"/>
                </c:manualLayout>
              </c:layout>
              <c:tx>
                <c:rich>
                  <a:bodyPr rot="0" spcFirstLastPara="0" vertOverflow="ellipsis" vert="horz" wrap="square" lIns="38100" tIns="19050" rIns="38100" bIns="19050" anchor="ctr" anchorCtr="1"/>
                  <a:lstStyle/>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价格问题</a:t>
                    </a:r>
                    <a:endParaRPr sz="1000"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 12</a:t>
                    </a:r>
                    <a:endParaRPr sz="1000"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215311004784689"/>
                  <c:y val="0.0175953079178886"/>
                </c:manualLayout>
              </c:layout>
              <c:tx>
                <c:rich>
                  <a:bodyPr rot="0" spcFirstLastPara="0" vertOverflow="ellipsis" vert="horz" wrap="square" lIns="38100" tIns="19050" rIns="38100" bIns="19050" anchor="ctr" anchorCtr="1"/>
                  <a:lstStyle/>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广告及宣传问题</a:t>
                    </a:r>
                    <a:endParaRPr sz="1000"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 6</a:t>
                    </a:r>
                    <a:endParaRPr sz="1000"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52511961722488"/>
                  <c:y val="-0.0410557184750733"/>
                </c:manualLayout>
              </c:layout>
              <c:tx>
                <c:rich>
                  <a:bodyPr rot="0" spcFirstLastPara="0" vertOverflow="ellipsis" vert="horz" wrap="square" lIns="38100" tIns="19050" rIns="38100" bIns="19050" anchor="ctr" anchorCtr="1"/>
                  <a:lstStyle/>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商标及假冒问题</a:t>
                    </a:r>
                    <a:endParaRPr sz="1000"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 2</a:t>
                    </a:r>
                    <a:endParaRPr sz="1000"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502392344497608"/>
                  <c:y val="-0.0381231671554252"/>
                </c:manualLayout>
              </c:layout>
              <c:tx>
                <c:rich>
                  <a:bodyPr rot="0" spcFirstLastPara="0" vertOverflow="ellipsis" vert="horz" wrap="square" lIns="38100" tIns="19050" rIns="38100" bIns="19050" anchor="ctr" anchorCtr="1"/>
                  <a:lstStyle/>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合同问题</a:t>
                    </a:r>
                    <a:endParaRPr sz="1000"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 35</a:t>
                    </a:r>
                    <a:endParaRPr sz="1000"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0125598086124402"/>
                  <c:y val="0.0205278592375367"/>
                </c:manualLayout>
              </c:layout>
              <c:tx>
                <c:rich>
                  <a:bodyPr rot="0" spcFirstLastPara="0" vertOverflow="ellipsis" vert="horz" wrap="square" lIns="38100" tIns="19050" rIns="38100" bIns="19050" anchor="ctr" anchorCtr="1"/>
                  <a:lstStyle/>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计量问题</a:t>
                    </a:r>
                    <a:endParaRPr sz="1000"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 4</a:t>
                    </a:r>
                    <a:endParaRPr sz="1000"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0.00717703349282297"/>
                  <c:y val="-0.0469208211143695"/>
                </c:manualLayout>
              </c:layout>
              <c:tx>
                <c:rich>
                  <a:bodyPr rot="0" spcFirstLastPara="0" vertOverflow="ellipsis" vert="horz" wrap="square" lIns="38100" tIns="19050" rIns="38100" bIns="19050" anchor="ctr" anchorCtr="1"/>
                  <a:lstStyle/>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售后服务问题</a:t>
                    </a:r>
                    <a:endParaRPr sz="1000"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 33</a:t>
                    </a:r>
                    <a:endParaRPr sz="1000"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8"/>
              <c:delete val="1"/>
            </c:dLbl>
            <c:dLbl>
              <c:idx val="9"/>
              <c:layout>
                <c:manualLayout>
                  <c:x val="-0.00538277511961725"/>
                  <c:y val="-0.000155176051362124"/>
                </c:manualLayout>
              </c:layout>
              <c:tx>
                <c:rich>
                  <a:bodyPr rot="0" spcFirstLastPara="0" vertOverflow="ellipsis" vert="horz" wrap="square" lIns="38100" tIns="19050" rIns="38100" bIns="19050" anchor="ctr" anchorCtr="1"/>
                  <a:lstStyle/>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其他问题</a:t>
                    </a:r>
                    <a:endParaRPr sz="1000" b="1" u="none" strike="noStrike" cap="none" normalizeH="0">
                      <a:solidFill>
                        <a:schemeClr val="tx1">
                          <a:lumMod val="75000"/>
                          <a:lumOff val="25000"/>
                        </a:schemeClr>
                      </a:solidFill>
                      <a:uFill>
                        <a:solidFill>
                          <a:schemeClr val="tx1">
                            <a:lumMod val="75000"/>
                            <a:lumOff val="25000"/>
                          </a:schemeClr>
                        </a:solidFill>
                      </a:uFill>
                    </a:endParaRPr>
                  </a:p>
                  <a:p>
                    <a:pPr defTabSz="914400">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b="1" u="none" strike="noStrike" cap="none" normalizeH="0">
                        <a:solidFill>
                          <a:schemeClr val="tx1">
                            <a:lumMod val="75000"/>
                            <a:lumOff val="25000"/>
                          </a:schemeClr>
                        </a:solidFill>
                        <a:uFill>
                          <a:solidFill>
                            <a:schemeClr val="tx1">
                              <a:lumMod val="75000"/>
                              <a:lumOff val="25000"/>
                            </a:schemeClr>
                          </a:solidFill>
                        </a:uFill>
                      </a:rPr>
                      <a:t> 16</a:t>
                    </a:r>
                    <a:endParaRPr sz="1000" b="1"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质量问题</c:v>
                </c:pt>
                <c:pt idx="1">
                  <c:v>安全问题</c:v>
                </c:pt>
                <c:pt idx="2">
                  <c:v>价格问题</c:v>
                </c:pt>
                <c:pt idx="3">
                  <c:v>广告及宣传问题</c:v>
                </c:pt>
                <c:pt idx="4">
                  <c:v>商标及假冒问题</c:v>
                </c:pt>
                <c:pt idx="5">
                  <c:v>合同问题</c:v>
                </c:pt>
                <c:pt idx="6">
                  <c:v>计量问题</c:v>
                </c:pt>
                <c:pt idx="7">
                  <c:v>售后服务问题</c:v>
                </c:pt>
                <c:pt idx="8">
                  <c:v>人格尊严人身权问题</c:v>
                </c:pt>
                <c:pt idx="9">
                  <c:v>其他问题</c:v>
                </c:pt>
              </c:strCache>
            </c:strRef>
          </c:cat>
          <c:val>
            <c:numRef>
              <c:f>Sheet1!$B$2:$B$11</c:f>
              <c:numCache>
                <c:formatCode>General</c:formatCode>
                <c:ptCount val="10"/>
                <c:pt idx="0">
                  <c:v>67</c:v>
                </c:pt>
                <c:pt idx="1">
                  <c:v>8</c:v>
                </c:pt>
                <c:pt idx="2">
                  <c:v>12</c:v>
                </c:pt>
                <c:pt idx="3">
                  <c:v>6</c:v>
                </c:pt>
                <c:pt idx="4">
                  <c:v>2</c:v>
                </c:pt>
                <c:pt idx="5">
                  <c:v>35</c:v>
                </c:pt>
                <c:pt idx="6">
                  <c:v>4</c:v>
                </c:pt>
                <c:pt idx="7">
                  <c:v>33</c:v>
                </c:pt>
                <c:pt idx="8">
                  <c:v>0</c:v>
                </c:pt>
                <c:pt idx="9">
                  <c:v>16</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28575" cap="flat" cmpd="sng" algn="ctr">
      <a:solidFill>
        <a:schemeClr val="accent1">
          <a:lumMod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2019-01-11T00:52:27Z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